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7C" w:rsidRPr="00F6767C" w:rsidRDefault="00F6767C" w:rsidP="00F6767C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6" name="Рисунок 56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5" name="Рисунок 55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2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4" name="Рисунок 54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3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3" name="Рисунок 53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00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2" name="Рисунок 52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0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1" name="Рисунок 51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1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0" name="Рисунок 50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12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9" name="Рисунок 49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200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8" name="Рисунок 48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300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7" name="Рисунок 47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3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6" name="Рисунок 46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32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5" name="Рисунок 45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400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4" name="Рисунок 44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4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3" name="Рисунок 43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42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2" name="Рисунок 42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43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1" name="Рисунок 41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500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0" name="Рисунок 40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5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9" name="Рисунок 39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52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8" name="Рисунок 38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600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7" name="Рисунок 37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6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6" name="Рисунок 36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62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5" name="Рисунок 35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63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4" name="Рисунок 34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64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3" name="Рисунок 33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700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2" name="Рисунок 32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1" name="Рисунок 31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2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0" name="Рисунок 30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3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9" name="Рисунок 29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4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5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500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6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7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8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9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10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1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0" name="Рисунок 20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12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13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14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15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16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717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800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81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82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83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84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85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Фраг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block_1086" descr="Фрагмен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Меню операций со всем докумен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DocumentButtonMarker" descr="Меню операций со всем документ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67C" w:rsidRPr="00F6767C" w:rsidRDefault="00F6767C" w:rsidP="00F6767C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" cy="171450"/>
            <wp:effectExtent l="0" t="0" r="0" b="0"/>
            <wp:docPr id="6" name="Рисунок 6" descr="Информация об изменениях в докумен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versionComment789624" descr="Информация об изменениях в докумен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" cy="171450"/>
            <wp:effectExtent l="0" t="0" r="0" b="0"/>
            <wp:docPr id="5" name="Рисунок 5" descr="Информация об изменениях в докумен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versionComment598063" descr="Информация об изменениях в докумен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1450" cy="171450"/>
            <wp:effectExtent l="0" t="0" r="0" b="0"/>
            <wp:docPr id="4" name="Рисунок 4" descr="Информация об изменениях в докумен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_versionComment304893" descr="Информация об изменениях в докумен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Министерства образования и науки РФ от 11 августа 2014 г. N 972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"Об утверждении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федерального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государственного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образовательного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стандарта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среднего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профессионального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образования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специальности 31.02.05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Стоматология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ортопедическая</w:t>
      </w:r>
      <w:proofErr w:type="gramStart"/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изменениях ) </w:t>
      </w:r>
    </w:p>
    <w:p w:rsidR="006D0D18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 27, ст. 3776), пунктом 17 Правил разработки, утверждения федеральных государственных образовательных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стандартов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внесения в них изменений, утвержденных постановлением Правительства Российской Федерации от 5 августа 2013 г. N 661 (Собрание законодательства Российской Федерации, 2013, N 33, ст. 4377), приказываю:1.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прилагаемый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государственный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31.02.05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Стоматология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ортопедическая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приказ Министерства образования и науки Российской Федерации от 20 октября 2009 г. N 435 "Об утверждении и введении в действие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федерального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государственного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образовательного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стандарта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060203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Стоматология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ортопедическая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" (зарегистрирован Министерством юстиции Российской Федерации 9 декабря 2009 г., регистрационный N 15463).</w:t>
      </w:r>
      <w:proofErr w:type="gramEnd"/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сентября 2014 года.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2"/>
        <w:gridCol w:w="3534"/>
      </w:tblGrid>
      <w:tr w:rsidR="00F6767C" w:rsidRPr="00F6767C" w:rsidTr="00F6767C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F6767C" w:rsidRPr="00F6767C" w:rsidRDefault="00F6767C" w:rsidP="00F6767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25 августа 2014 г.</w:t>
      </w:r>
    </w:p>
    <w:p w:rsidR="006D0D18" w:rsidRDefault="00F6767C" w:rsidP="006D0D18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 33767</w:t>
      </w:r>
    </w:p>
    <w:p w:rsidR="00F6767C" w:rsidRPr="00F6767C" w:rsidRDefault="00F6767C" w:rsidP="006D0D18">
      <w:pPr>
        <w:spacing w:before="100" w:beforeAutospacing="1"/>
        <w:ind w:left="7788" w:firstLine="70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D0D18" w:rsidRDefault="00F6767C" w:rsidP="006D0D18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Федеральный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государственный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образовательный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стандарт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среднего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профессионального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образования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специальности 31.02.05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Стоматология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D1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ортопедическая</w:t>
      </w: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(утв. приказом Министерства образования и науки РФ от 11 августа 2014 г. N 972)(Информация об изменениях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F6767C" w:rsidRPr="00F6767C" w:rsidRDefault="00F6767C" w:rsidP="006D0D18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Область применения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государственный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совокупность обязательных требований к среднему профессиональному образованию по специальности 31.02.05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Стоматология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ортопедическая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  <w:proofErr w:type="gramEnd"/>
    </w:p>
    <w:p w:rsidR="006D0D18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Право на реализацию программы подготовки специалистов среднего звена по специальности 31.02.05 Стоматология ортопедическая имеет образовательная организация при наличии соответствующей лицензии на осуществление образовательной деятельности.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Возможна сетевая форма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подготовки специалистов среднего звена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звена. </w:t>
      </w:r>
    </w:p>
    <w:p w:rsidR="006D0D18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Используемые сокращения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стандарте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сокращения: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среднее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профессиональное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образование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ФГОС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-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государственный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 - программа подготовки специалистов среднего звена;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компетенция;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- профессиональная компетенция;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ПМ - профессиональный модуль;</w:t>
      </w:r>
    </w:p>
    <w:p w:rsidR="006D0D18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- междисциплинарный курс. </w:t>
      </w:r>
    </w:p>
    <w:p w:rsidR="006D0D18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Характеристика подготовки по специальности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Получение СПО по ППССЗ допускается только в образовательной организации.</w:t>
      </w:r>
    </w:p>
    <w:p w:rsidR="006D0D18" w:rsidRDefault="00F6767C" w:rsidP="006D0D18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Сроки получения СПО по специальности 31.02.05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Стоматология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6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ортопедическая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базовой подготовки в очной форме обучения и присваиваемая квалификация приводятся в Таблице 1.</w:t>
      </w:r>
    </w:p>
    <w:p w:rsidR="00F6767C" w:rsidRPr="00F6767C" w:rsidRDefault="00F6767C" w:rsidP="006D0D18">
      <w:pPr>
        <w:spacing w:before="100" w:beforeAutospacing="1"/>
        <w:ind w:left="778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 </w:t>
      </w: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2870"/>
        <w:gridCol w:w="4043"/>
      </w:tblGrid>
      <w:tr w:rsidR="00F6767C" w:rsidRPr="00F6767C" w:rsidTr="00F6767C">
        <w:trPr>
          <w:tblCellSpacing w:w="15" w:type="dxa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базовой подготовки</w:t>
            </w:r>
          </w:p>
        </w:tc>
        <w:tc>
          <w:tcPr>
            <w:tcW w:w="40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базовой подготовки в очной форме обучения*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3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28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Зубной техник</w:t>
            </w:r>
          </w:p>
        </w:tc>
        <w:tc>
          <w:tcPr>
            <w:tcW w:w="40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</w:tr>
    </w:tbl>
    <w:p w:rsidR="006D0D18" w:rsidRDefault="006D0D18" w:rsidP="00F6767C">
      <w:pPr>
        <w:pBdr>
          <w:bottom w:val="single" w:sz="12" w:space="1" w:color="auto"/>
        </w:pBd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Независимо от применяемых образовательных технологий.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F6767C" w:rsidRPr="00F6767C" w:rsidRDefault="00F6767C" w:rsidP="00F6767C">
      <w:pPr>
        <w:spacing w:before="100" w:beforeAutospacing="1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Приказом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9 апреля 2015 г. N 391 в подпункт "а" внесены изменения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текст подпункта в предыдущей редакции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для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очно-заочной и заочной формам обучения на базе среднего общего образования - не более чем на 1 год;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инвалидов и лиц с ограниченными возможностями здоровья - не более чем на 10 месяцев. </w:t>
      </w:r>
    </w:p>
    <w:p w:rsidR="00F6767C" w:rsidRPr="006D0D18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Характеристика профессиональной деятельности выпускников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Область профессиональной деятельности выпускников: изготовление зубных протезов,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ортодонтических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челюстно-лицевых аппаратов в учреждениях здравоохранения по указанию врача.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Объектами профессиональной деятельности выпускников являются: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зубные протезы,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ортодонтические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челюстно-лицевые аппараты, оборудование и аппаратура зуботехнической лаборатории, конструкционные и вспомогательные материалы;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трудовые коллективы.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Зубной техник готовится к следующим видам деятельности: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Изготовление съемных пластиночных протезов.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Изготовление несъемных протезов.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Изготовление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бюгельных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Изготовление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ортодонтических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Изготовление челюстно-лицевых аппаратов.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Требования к результатам </w:t>
      </w:r>
      <w:proofErr w:type="gramStart"/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программы подготовки специалистов среднего звена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Зубной техник должен обладать общими компетенциями, включающими в себя способность: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OK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Брать на себя ответственность за работу членов команды (подчиненных), за результат выполнения заданий.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Ориентироваться в условиях частой смены технологий в профессиональной деятельности.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 Быть готовым брать на себя нравственные обязательства по отношению к природе, обществу и человеку.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 Оказывать первую (доврачебную) медицинскую помощь при неотложных состояниях.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Зубной техник должен обладать профессиональными компетенциями, соответствующими видам деятельности: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Изготовление съемных пластиночных протезов.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Изготавливать съемные пластиночные протезы при частичном отсутствии зубов.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Изготавливать съемные пластиночные протезы при полном отсутствии зубов.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Производить починку съемных пластиночных протезов.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1.4. Изготавливать съемные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иммедиат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-протезы.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Изготовление несъемных зубных протезов.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Изготавливать пластмассовые коронки и мостовидные протезы.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Изготавливать штампованные металлические коронки и штампованно-паяные мостовидные протезы.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Изготавливать культевые штифтовые вкладки.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2.4. Изготавливать цельнолитые коронки и мостовидные зубные протезы.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2.5. Изготавливать цельнолитые коронки и мостовидные зубные протезы с облицовкой.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Изготовление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бюгельных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3.1. Изготавливать литые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бюгельные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зубные протезы с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кламмерной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системой фиксации.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5.2.4. Изготовление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ортодонтических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4.1. Изготавливать основные элементы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ортодонтических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ПК 4.2. Изготавливать основные съёмные и несъёмные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ортодонтические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аппараты.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Изготовление челюстно-лицевых аппаратов.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5.1. Изготавливать основные виды челюстно-лицевых аппаратов при дефектах челюстно-лицевой области.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5.2. Изготавливать лечебно-профилактические челюстно-лицевые аппараты (шины).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Требования к структуре программы подготовки специалистов среднего звена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ППССЗ предусматривает изучение следующих учебных циклов: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гуманитарного и социально-экономического;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математического и общего естественнонаучного;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разделов: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(по профилю специальности);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(преддипломная);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гуманитарный и социально-экономический учебные циклы состоят из дисциплин.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 - "Основы философии", "История", "Психология общения", "Иностранный язык", "Физическая культура".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профессионального учебного цикла ППССЗ базовой подготовки должна предусматривать изучение дисциплины "Безопасность жизнедеятельности". Объем часов на 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дисциплину "Безопасность жизнедеятельности" составляет 68 часов, из них на освоение основ военной службы - 48 часов.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 </w:t>
      </w:r>
    </w:p>
    <w:p w:rsidR="00F6767C" w:rsidRPr="00F6767C" w:rsidRDefault="00F6767C" w:rsidP="006D0D18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подготовки специалистов среднего звена базовой подготовки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2786"/>
        <w:gridCol w:w="1553"/>
        <w:gridCol w:w="1463"/>
        <w:gridCol w:w="2229"/>
        <w:gridCol w:w="1529"/>
      </w:tblGrid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2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 (час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часов обязательных учебных занятий</w:t>
            </w:r>
          </w:p>
        </w:tc>
        <w:tc>
          <w:tcPr>
            <w:tcW w:w="17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3726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 понятия философии;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познания;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 научной, философской и религиозной картин мира;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1 - 14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процессы (интеграционные, поликультурные, миграционные и иные) политического и экономического развития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ведущих государств и регионов мира;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1 - 14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(со словарем) иностранные тексты профессиональной направленности;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 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 Иностранный язык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4 - 6, 8, 9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физкультурно-оздоровительную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для укрепления здоровья, достижения жизненных и профессиональных целей;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ОГСЭ.04. Физическая культура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2 - 4, 6, 8, 11, 14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EH.00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прикладные задачи в области профессиональной деятельности;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математики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и при освоении ППССЗ;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методы теории вероятностей и математической статистики;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интегрального и дифференциального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исчисления;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ЕН.01. Математика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4, 5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компьютерные технологии в профессиональной и повседневной деятельности;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средства сбора, обработки, хранения, передачи информации;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взаимодействия с операционной системой персонального компьютера и пакеты прикладных программ;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автоматизацию рабочих мест медицинского персонала с использованием компьютеров;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компьютерных технологий в приборах и аппаратуре медицинского назначения, в клинике ортопедической стоматологии и в технологиях изготовления зубных протезов;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ЕН.02. Информатика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4, 5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организационно-правовые формы организаций;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состав материальных, трудовых и финансовых ресурсов организации;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основные технико-экономические показатели деятельности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 и использовать необходимую экономическую информацию;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построения экономической системы организации;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общую организацию производственного и технологического процессов;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технико-экономические показатели деятельности организации и методики их расчета;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экономии ресурсов, основные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материалосберегающие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механизмы ценообразования на продукцию (услуги);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оплаты труда.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ЕН.03. Экономика организации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4, 5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общепрофессиональным дисциплинам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групповую принадлежность зуба;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вид прикуса;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схемы, формулы зубных рядов и зарисовки полости рта;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знания по анатомии, физиологии и биомеханике зубочелюстной системы при изготовлении зубных протезов,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 и челюстно-лицевых протезов и аппаратов; 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функцию тканей, органов и систем организма человека;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физиологические процессы, происходящие в организме человека;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анатомическое строение зубочелюстной системы;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физиологию и биомеханику зубочелюстной системы;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 Анатомия и физиология человека с курсом биомеханики зубочелюстной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1, 12 - 14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знания о составе, свойствах и назначении зуботехнических материалов при изготовлении зубных протезов,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челюстно-лицевых аппаратов с учетом соблюдения правил техники безопасности и требований охраны труда;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развития производства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и свойства конструкционных и вспомогательных материалов, применяемых в производстве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конструкционных материалов на ткани полости рта и организм человека в целом;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конструкционным и вспомогательным материалам;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производства в зуботехнической лаборатории;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оборудования в зуботехнических лабораториях;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работы с конструкционными и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вспомогательными зуботехническими материалами;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безопасности при работе с химически активными, легковоспламеняющимися и взрывоопасными средствами;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индивидуальной и коллективной защиты от источников вредного действия на организм в зуботехнической лаборатории; правила инфекционной безопасности;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Зуботехническое материаловедение с курсом охраны труда и техники безопасности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1, 4, 9, 12 - 14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 видах и свойствах микроорганизмов для профилактики профессиональных вредностей и внутрибольничной инфекции (далее - ВБИ);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и свойства микроорганизмов;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лечения и профилактики инфекционных болезней;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и специальные мероприятия по профилактике ВБИ в условиях стоматологической поликлиники (отделения,</w:t>
            </w:r>
            <w:proofErr w:type="gramEnd"/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кабинета) и зуботехнической лаборатории;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 Основы микробиологии и инфекционная безопасность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1 - 4, 9, 13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первую медицинскую помощь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травмах, ожогах, обморожениях;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медицинскую помощь при неотложных состояниях;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сердечно-легочную реанимацию;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оказания первой медицинской помощи;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проведения сердечно-легочной реанимации;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 Первая медицинская помощь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 1, 12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гигиены полости рта;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знания о заболеваниях полости рта при планировании конструкции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этиологию, патогенез, диагностику, принципы лечения и профилактики основных стоматологических заболеваний;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стоматологической помощи населению;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зубных протезов в возникновении и развитии стоматологических заболеваний (кариес,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пародонтиты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патологические изменения слизистой оболочки полости рта);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ОП.05.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Стоматологические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1 - 4, 9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первичные средства пожаротушения;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способами бесконфликтного общения и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помощь пострадавшим;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имеются военно-учетные специальности, родственные специальностям СПО;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оказания первой помощи пострадавшим.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ОП.06. Безопасность жизнедеятельности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1 - 4, 9, 12 - 14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съемных пластиночных протезов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съёмных пластиночных протезов при частичном отсутствии зубов с пластмассовым базисом;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съёмных пластиночных протезов при частичном отсутствии зубов с металлизированным базисом;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съёмных пластиночных протезов при полном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съёмных пластиночных протезов с двухслойным базисом;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починки съемных пластинчатых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современными зуботехническими материалами с учетом соблюдения техники безопасности при воздействии профессиональных вредностей;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вспомогательные и рабочие модели челюстей;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рабочее место;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отчетно-учетную документацию;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оценку слепка (оттиска);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конструкцию съёмных пластиночных протезов при частичном и полном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загипсовывать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в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окклюдатор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среднеанатомический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артикулятор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изгибать одноплечие и перекидные удерживающие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постановку искусственных зубов на приточке и на искусственной десне;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восковой базис съемного пластиночного протеза при частичном и полном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загипсовку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восковой композиции съемного пластиночного протеза в кювету прямым,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обратным и комбинированным методом;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обработку, шлифовку и полировку съемного пластиночного протеза;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починку съемных пластиночных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контроль качества выполненных работ;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 и историю развития ортопедической стоматологии;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зуботехнического производства по изготовлению съёмных пластиночных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и свойства материалов, применяемых при изготовлении съемных пластиночных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анатомо-физиологические особенности зубочелюстной системы при частичном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дефектов зубных рядов при частичном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слизистой оболочки полости рта при частичном и полном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показания и противопоказания к изготовлению съемных пластиночных протезов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полном и частичном отсутствии зубов,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конструктивные особенности съемных пластиночных протезов, применяемых при полном и частичном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и недостатки съёмных пластиночных протезов, применяемых при частичном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фиксации и стабилизации съемных пластиночных протезов при частичном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клинико-лабораторные этапы и технологию изготовления съёмных пластиночных протезов при частичном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беззубых челюстей;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слизистых оболочек;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конструктивные особенности съемных пластиночных протезов при полном отсутствии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починки съемных пластиночных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армирования базисов протезов.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 Технология изготовления съемных пластиночных протезов при частичном отсутствии зубов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МДК.01.02. Технология изготовления съемных пластиночных протезов при полном отсутствии зубов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1 - 14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1.1 - 1.4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несъемных протезов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должен: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пластмассовых коронок и мостовидных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штампованных металлических коронок;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штампованно-паяных мостовидных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штифтово-культевых вкладок;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цельнолитых коронок и мостовидных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цельнолитых коронок и мостовидных протезов с облицовкой; 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отчетно-учетную документацию;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оттиски челюстей и отливать по ним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и вспомогательные модели;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разборные комбинированные модели;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восковые конструкции несъемных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гипсовать восковую композицию несъемного протеза в кювету,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заменять воск на пластмассу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обработку, шлифовку и полировку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пластмассовых коронок и мостовидных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восковую композицию для изготовления штампованных коронок и штампованных паяных мостовидных протезов, осуществлять подбор гильз, производить штамповку коронок, отжиг и отбеливание;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восковые композиции к литью;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отжиг, паяние и отбеливание металлических конструкций;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отделку, шлифовку и полировку несъемных металлических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воском каркас литой коронки и мостовидного протеза;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изготовить литниковую систему;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припасовывать на рабочую модель и обрабатывать каркас литой коронки и мостовидного протеза;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восковую композицию литого каркаса коронок и мостовидных зубных протезов с пластмассовой облицовкой;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пластмассовую облицовку несъемных мостовидных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восковую композицию литого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каркаса, металлокерамических конструкций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зубы керамическими массами;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литье стоматологических сплавов при изготовлении каркасов несъемных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производства зуботехнических протезов и оснащение рабочего места зубного техника при изготовлении несъёмных протезов с учетом устранения профессиональных вредностей;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состав, свойства и правила работы с материалами, применяемыми при изготовлении несъемных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эксплуатации оборудования в литейной и паяльной;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клинико-лабораторные этапы и технологию изготовления пластмассовых несъемных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изготовления временных пластмассовых коронок и мостовидных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клинико-лабораторные этапы и технологию изготовления штампованных коронок и штампованно-паяных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мостовидных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клинико-лабораторные этапы и технологию изготовления цельнолитых коронок и мостовидных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особенности изготовления разборных моделей;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клинико-лабораторные этапы и технологию изготовления цельнолитых коронок и мостовидных протезов с пластмассовой облицовкой;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керамических масс, назначение, состав и технологические свойства;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этапы изготовления металлокерамических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виды и технологические этапы изготовления культевых штифтовых конструкций;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применения и технологические особенности изготовления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цельнокерамических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литейного производства в ортопедической стоматологии;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оснащение литейной лаборатории;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охрану труда и технику безопасности в литейной комнате.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МДК.02.01. Технология изготовления несъемных протезов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МДК.02.02. Литейное дело в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стоматологии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1 - 14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2.1 - 2.5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зубных протезов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моделирования элементов каркаса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изготовления литого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протеза с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кламмерной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системой фиксации;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параллелометрию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конструкцию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рабочую модель к дублированию;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огнеупорную модель;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моделировать каркас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изготавливать литниковую систему для каркаса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протеза на верхнюю и нижнюю челюсти;</w:t>
            </w:r>
            <w:proofErr w:type="gramEnd"/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изготавливать огнеупорную опоку и отливать каркас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протеза из металла;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припасовывать металлический каркас на модель;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проводить отделку, шлифовку и полировку металлического каркаса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протеза;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постановку зубов при изготовлении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протеза;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протез к замене воска на пластмассу;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контроль качества выполненной работы;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показания и противопоказания к изготовлению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конструктивные особенности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фиксации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преимущества и недостатки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клинико-лабораторные этапы и технологию изготовления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зубных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дублирования и получения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огнеупорной модели;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моделирование восковой композиции каркаса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протеза;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обработки и припасовки каркаса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протеза на рабочую модель;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постановки зубов и замены воскового базиса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протеза на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пластмассовый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технологию починки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изготовления литниковых систем и литья стоматологических сплавов при изготовлении каркаса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зубного протеза.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МДК.03.01. Технология изготовления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бюгельных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протезов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МДК.03.02. Литейное дело в стоматологии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1 - 14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ПМ.04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изготовления элементов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 с различным принципом действия;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рабочих и контрольных моделей;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нанесения рисунка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ортодонтического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на модель;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изготавливать основные виды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рабочее место;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читать заказ-наряд; 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ортодонтии;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рабочего места зубного техника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изготовлении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анатомо-физиологические особенности зубочелюстной системы у детей на разных этапах развития;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зубочелюстных аномалиях, их классификации и причины возникновения;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принципы конструирования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классификацию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съемных и несъемных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 механического, функционального и комбинированного действия;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биомеханику передвижения зубов;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клинико-лабораторные этапы и технологию изготовления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 и применяемые материалы;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зубного протезирования у детей.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МДК.04.01. Технология изготовления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1 - 14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4.1 - 4.2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ПМ.05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челюстно-лицевых аппаратов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результате изучения профессионального модуля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изготовить основные виды челюстно-лицевых аппаратов;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изготавливать лечебно-профилактические челюстно-лицевые аппараты (шины);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челюстно-лицевой ортопедии;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развития челюстно-лицевой ортопедии;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челюстно-лицевой ортопедии с другими науками и дисциплинами;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челюстно-лицевых аппаратов;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травмы, повреждения, их классификацию;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огнестрельные повреждения челюстно-лицевой области, их особенности;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ортопедическую помощь на этапах медицинской эвакуации;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неогнестрельные переломы челюстей, их классификации и механизм смещения отломков;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 ухода и питания челюстно-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лицевых больных;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борьбы с осложнениями на этапах медицинской эвакуации;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лечения переломов челюстей;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изготовления шины (каппы)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МДК.05.01. Технология изготовления </w:t>
            </w: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челюстно-лицевых аппаратов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1 - 14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5.1 - 5.2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(определяется образовательной организацией самостоятельно)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 ППССЗ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3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75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- 14</w:t>
            </w:r>
          </w:p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1.1 - 5.2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D0D18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D0D18" w:rsidRDefault="006D0D18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D18" w:rsidRDefault="006D0D18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D18" w:rsidRDefault="006D0D18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D18" w:rsidRDefault="006D0D18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D18" w:rsidRDefault="006D0D18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D18" w:rsidRDefault="006D0D18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3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СПО по ППССЗ базовой подготовки в очной форме обучения составляет 147 недель, в том числе:</w:t>
      </w:r>
    </w:p>
    <w:tbl>
      <w:tblPr>
        <w:tblW w:w="10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2"/>
        <w:gridCol w:w="1763"/>
      </w:tblGrid>
      <w:tr w:rsidR="00F6767C" w:rsidRPr="00F6767C" w:rsidTr="00F6767C">
        <w:trPr>
          <w:tblCellSpacing w:w="15" w:type="dxa"/>
        </w:trPr>
        <w:tc>
          <w:tcPr>
            <w:tcW w:w="8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8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725" w:type="dxa"/>
            <w:vMerge w:val="restart"/>
            <w:tcBorders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8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6767C" w:rsidRPr="00F6767C" w:rsidRDefault="00F6767C" w:rsidP="00F6767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67C" w:rsidRPr="00F6767C" w:rsidTr="00F6767C">
        <w:trPr>
          <w:tblCellSpacing w:w="15" w:type="dxa"/>
        </w:trPr>
        <w:tc>
          <w:tcPr>
            <w:tcW w:w="8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8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8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8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767C" w:rsidRPr="00F6767C" w:rsidTr="00F6767C">
        <w:trPr>
          <w:tblCellSpacing w:w="15" w:type="dxa"/>
        </w:trPr>
        <w:tc>
          <w:tcPr>
            <w:tcW w:w="84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767C" w:rsidRPr="00F6767C" w:rsidRDefault="00F6767C" w:rsidP="00F6767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147 </w:t>
            </w:r>
            <w:proofErr w:type="spellStart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F6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VII. Требования к условиям </w:t>
      </w:r>
      <w:proofErr w:type="gramStart"/>
      <w:r w:rsidRPr="0049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программы подготовки специалистов среднего звена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67C" w:rsidRPr="00F6767C" w:rsidRDefault="00F6767C" w:rsidP="00F6767C">
      <w:pPr>
        <w:spacing w:before="100" w:beforeAutospacing="1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9 апреля 2015 г. N 391 в пункт 7.1 внесены изменения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текст пункта в предыдущей редакции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Образовательная организация самостоятельно разрабатывает и утверждает ППССЗ в соответствии с ФГОС СПО и с учетом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ППССЗ.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виды деятельности, к которым готовится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ППССЗ образовательная организация: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обязана обеспечить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участвовать в формировании индивидуальной образовательной программы;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коллективов, общественных организаций, спортивных и творческих клубов;</w:t>
      </w:r>
      <w:proofErr w:type="gramEnd"/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предусматривать, в целях реализации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 реализации ППССЗ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Федерации"*.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Максимальный объем учебной нагрузки обучающегося составляет 54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включая все виды аудиторной и внеаудиторной учебной нагрузки.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F6767C" w:rsidRPr="00F6767C" w:rsidRDefault="00F6767C" w:rsidP="00F6767C">
      <w:pPr>
        <w:spacing w:before="100" w:beforeAutospacing="1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9 апреля 2015 г. N 391 приложение дополнено пунктом 7.5.1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7.10.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проведения 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консультаций (групповые, индивидуальные, письменные, устные) определяются образовательной организацией.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В период обучения с юношами проводятся учебные сборы**.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7.12.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рассредоточено, чередуясь с теоретическими занятиями в рамках профессиональных модулей.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7.13.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7.14.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быть обеспечены доступом к информационно-телекоммуникационной сети "Интернет" (далее - сеть Интернет).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7.15.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 г. N 273-ФЗ "Об образовании в Российской Федерации"*.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образования для данного уровня.</w:t>
      </w:r>
    </w:p>
    <w:p w:rsidR="00F6767C" w:rsidRPr="00494040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7.16.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Материально-техническая база должна соответствовать действующим санитарным и противопожарным нормам. </w:t>
      </w:r>
    </w:p>
    <w:p w:rsidR="00494040" w:rsidRDefault="00494040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кабинетов, лабораторий, мастерских и других помещений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040" w:rsidRPr="00494040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Кабинеты: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и основ философии;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языка;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анатомии и физиологии человека с курсом биомеханики зубочелюстной системы;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 организации;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зуботехнического материаловедения с курсом охраны труда и техники безопасности;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 микробиологии и инфекционной безопасности;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медицинской помощи;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стоматологических заболеваний;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жизнедеятельности.</w:t>
      </w:r>
    </w:p>
    <w:p w:rsidR="00F6767C" w:rsidRPr="00494040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Лаборатории: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изготовления съемных пластиночных протезов;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изготовления несъемных протезов;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изготовления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бюгельных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протезов;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литейного дела;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изготовления </w:t>
      </w:r>
      <w:proofErr w:type="spell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ортодонтических</w:t>
      </w:r>
      <w:proofErr w:type="spell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аппаратов;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изготовления челюстно-лицевых аппаратов.</w:t>
      </w:r>
    </w:p>
    <w:p w:rsidR="00F6767C" w:rsidRPr="00494040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Спортивный комплекс: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стадион широкого профиля с элементами полосы препятствий;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стрелковый тир (в любой модификации, включая электронный) или место для стрельбы.</w:t>
      </w:r>
    </w:p>
    <w:p w:rsidR="00F6767C" w:rsidRPr="00494040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Залы: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читальный зал с выходом в сеть Интернет;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зал.</w:t>
      </w:r>
    </w:p>
    <w:p w:rsidR="00F6767C" w:rsidRPr="00494040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ППССЗ должна обеспечивать: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занятий, включая как обязательный компонент практические задания с использованием персональных компьютеров;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организацией или в организациях в зависимости от специфики вида деятельности.</w:t>
      </w:r>
      <w:proofErr w:type="gramEnd"/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7.17. Реализация ППССЗ осуществляется образовательной организацией на государственном языке Российской Федерации.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67C" w:rsidRPr="00494040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VIII. Оценка </w:t>
      </w:r>
      <w:proofErr w:type="gramStart"/>
      <w:r w:rsidRPr="00494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качества освоения программы подготовки специалистов среднего звена</w:t>
      </w:r>
      <w:proofErr w:type="gramEnd"/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Оценка качества освоения ППССЗ должна включать текущий контроль успеваемости,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промежуточную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государственную итоговую аттестации обучающихся.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  <w:bookmarkStart w:id="0" w:name="_GoBack"/>
      <w:bookmarkEnd w:id="0"/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 оценочных сре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освоения дисциплин;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компетенций обучающихся.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юношей предусматривается оценка результатов освоения основ военной службы.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программам***.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экзамен вводится по усмотрению образовательной организации.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30, ст. 4263.</w:t>
      </w:r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** Пункт 1 статьи 13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2002, N 7, ст. 631; N 21, ст. 1919; N 26, ст. 2521; N 30, ст. 3029, ст. 3030, ст. 3033; 2003, N 1, ст. 1; N 8, ст. 709; N 27, ст. 2700; N 46, ст. 4437; 2004, N 8, ст. 600; N 17, ст. 1587; N 18, ст. 1687;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N 25, ст. 2484; N 27, ст. 2711; N 35, ст. 3607; N 49, ст. 4848; 2005, N 10, ст. 763; N 14, ст. 1212; N 27, ст. 2716; N 29, ст. 2907; N 30, ст. 3110, ст. 3111; N 40, ст. 3987; N 43, ст. 4349; N 49, ст. 5127;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N 1, ст. 10, ст. 22; N 11, ст. 1148; N 19, ст. 2062; N 28, ст. 2974, N 29, ст. 3121, ст. 3122, ст. 3123; N 41, ст. 4206; N 44, ст. 4534; N 50, ст. 5281; 2007, N 2, ст. 362; N 16, ст. 1830; N 31, ст. 4011;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N 50, ст. 7366; 2012, N 50, ст. 6954; N 53, ст. 7613; 2013, N 9, ст. 870; N 19, ст. 2329; ст. 2331; N 23, ст. 2869; N 27, ст. 3462, ст. 3477; N 48, ст. 6165).</w:t>
      </w:r>
      <w:proofErr w:type="gramEnd"/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*** Часть 6 статьи 59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N 19, ст. 2289; N 22, ст. 2769; N 23, ст. 2933; N 26, ст. 3388; N 30, ст. 4263).</w:t>
      </w:r>
      <w:proofErr w:type="gramEnd"/>
    </w:p>
    <w:p w:rsidR="00F6767C" w:rsidRPr="00F6767C" w:rsidRDefault="00F6767C" w:rsidP="00F6767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67C" w:rsidRPr="00F6767C" w:rsidRDefault="00F6767C" w:rsidP="00F6767C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end"/>
      <w:bookmarkEnd w:id="1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страниц</w:t>
      </w:r>
      <w:proofErr w:type="gramStart"/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© </w:t>
      </w:r>
      <w:hyperlink r:id="rId8" w:tgtFrame="_blank" w:tooltip="Открыть сайт компании-разработчика (в новом окне)" w:history="1">
        <w:r w:rsidRPr="00F67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ООО</w:t>
        </w:r>
        <w:proofErr w:type="gramEnd"/>
        <w:r w:rsidRPr="00F67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НПП "Гарант-Сервис-Университет"</w:t>
        </w:r>
      </w:hyperlink>
      <w:r w:rsidRPr="00F67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1990-2013 </w:t>
      </w:r>
    </w:p>
    <w:p w:rsidR="00F6767C" w:rsidRPr="00F6767C" w:rsidRDefault="006D0D18" w:rsidP="00F6767C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cbd8e9" stroked="f"/>
        </w:pict>
      </w:r>
    </w:p>
    <w:p w:rsidR="00F6767C" w:rsidRPr="00F6767C" w:rsidRDefault="00F6767C" w:rsidP="00F6767C">
      <w:pPr>
        <w:spacing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http://counter.rambler.ru/top100.cnt?44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counter.rambler.ru/top100.cnt?445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Рейтинг@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ейтинг@Mail.r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95275" cy="295275"/>
            <wp:effectExtent l="0" t="0" r="9525" b="9525"/>
            <wp:docPr id="1" name="Рисунок 1" descr="http://counter.yadro.ru/logo;garant-ru?42.11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counter.yadro.ru/logo;garant-ru?42.11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67C" w:rsidRPr="00F6767C" w:rsidRDefault="00F6767C" w:rsidP="00F6767C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8E" w:rsidRDefault="0075598E"/>
    <w:sectPr w:rsidR="0075598E" w:rsidSect="006D0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5F"/>
    <w:rsid w:val="00494040"/>
    <w:rsid w:val="006D0D18"/>
    <w:rsid w:val="0075598E"/>
    <w:rsid w:val="00D06B5F"/>
    <w:rsid w:val="00F6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6767C"/>
    <w:pPr>
      <w:spacing w:before="100" w:before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6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6767C"/>
    <w:rPr>
      <w:i/>
      <w:iCs/>
    </w:rPr>
  </w:style>
  <w:style w:type="paragraph" w:styleId="a4">
    <w:name w:val="Normal (Web)"/>
    <w:basedOn w:val="a"/>
    <w:uiPriority w:val="99"/>
    <w:unhideWhenUsed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6767C"/>
  </w:style>
  <w:style w:type="paragraph" w:customStyle="1" w:styleId="s16">
    <w:name w:val="s_16"/>
    <w:basedOn w:val="a"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6767C"/>
  </w:style>
  <w:style w:type="paragraph" w:customStyle="1" w:styleId="s9">
    <w:name w:val="s_9"/>
    <w:basedOn w:val="a"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text">
    <w:name w:val="copyrighttext"/>
    <w:basedOn w:val="a0"/>
    <w:rsid w:val="00F6767C"/>
  </w:style>
  <w:style w:type="character" w:styleId="a5">
    <w:name w:val="Hyperlink"/>
    <w:basedOn w:val="a0"/>
    <w:uiPriority w:val="99"/>
    <w:semiHidden/>
    <w:unhideWhenUsed/>
    <w:rsid w:val="00F676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6767C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767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6767C"/>
    <w:pPr>
      <w:spacing w:before="100" w:before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6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F6767C"/>
    <w:rPr>
      <w:i/>
      <w:iCs/>
    </w:rPr>
  </w:style>
  <w:style w:type="paragraph" w:styleId="a4">
    <w:name w:val="Normal (Web)"/>
    <w:basedOn w:val="a"/>
    <w:uiPriority w:val="99"/>
    <w:unhideWhenUsed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6767C"/>
  </w:style>
  <w:style w:type="paragraph" w:customStyle="1" w:styleId="s16">
    <w:name w:val="s_16"/>
    <w:basedOn w:val="a"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6767C"/>
  </w:style>
  <w:style w:type="paragraph" w:customStyle="1" w:styleId="s9">
    <w:name w:val="s_9"/>
    <w:basedOn w:val="a"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6767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text">
    <w:name w:val="copyrighttext"/>
    <w:basedOn w:val="a0"/>
    <w:rsid w:val="00F6767C"/>
  </w:style>
  <w:style w:type="character" w:styleId="a5">
    <w:name w:val="Hyperlink"/>
    <w:basedOn w:val="a0"/>
    <w:uiPriority w:val="99"/>
    <w:semiHidden/>
    <w:unhideWhenUsed/>
    <w:rsid w:val="00F676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6767C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767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7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2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7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1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6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7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0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4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1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6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9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98250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ww.liveinternet.ru/click;garant-ru" TargetMode="External"/><Relationship Id="rId5" Type="http://schemas.openxmlformats.org/officeDocument/2006/relationships/image" Target="media/image1.gif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7491</Words>
  <Characters>42702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Дашкевич Ирина Владимировна</dc:creator>
  <cp:lastModifiedBy>Дашкевич Ирина Владимировна</cp:lastModifiedBy>
  <cp:revision>3</cp:revision>
  <dcterms:created xsi:type="dcterms:W3CDTF">2015-08-03T11:44:00Z</dcterms:created>
  <dcterms:modified xsi:type="dcterms:W3CDTF">2015-08-03T12:02:00Z</dcterms:modified>
</cp:coreProperties>
</file>